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tabs>
          <w:tab w:val="left" w:leader="none" w:pos="3060"/>
        </w:tabs>
        <w:ind w:right="4" w:firstLine="397"/>
        <w:rPr/>
      </w:pPr>
      <w:r w:rsidDel="00000000" w:rsidR="00000000" w:rsidRPr="00000000">
        <w:rPr>
          <w:rtl w:val="0"/>
        </w:rPr>
        <w:t xml:space="preserve">REQUISITOS DE LICENCIAMIENTO AMBIENTAL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720" w:right="4" w:hanging="360"/>
        <w:jc w:val="both"/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Reporte Oficial del Sistema de Licenciamiento Ambiental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720" w:right="4" w:hanging="360"/>
        <w:jc w:val="both"/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Escrito de Solicitud de Licencia Ambiental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720" w:right="4" w:hanging="360"/>
        <w:jc w:val="both"/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Carta Poder o Poder General para pleitos, autenticado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720" w:right="4" w:hanging="360"/>
        <w:jc w:val="both"/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Medidas de Control Ambiental emitidas por el Sistema de Licenciamiento Ambiental (SLAS)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720" w:right="4" w:hanging="360"/>
        <w:jc w:val="both"/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Fotocopia de RTN de la Empresa, autenticada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720" w:right="4" w:hanging="360"/>
        <w:jc w:val="both"/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Fotocopia del Documento de Identificación Nacional (DNI) del Representante Legal de la sociedad mercantil.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720" w:right="4" w:hanging="360"/>
        <w:jc w:val="both"/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Declaración Jurada del Representante Legal de la sociedad mercantil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720" w:right="4" w:hanging="360"/>
        <w:jc w:val="both"/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Declaración Jurada del Prestador de Servicios Ambientales (PSA) debidamente autenticada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720" w:right="4" w:hanging="360"/>
        <w:jc w:val="both"/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Titulo de propiedad debidamente timbrado y registrado/Contrato de arrendamiento o cualquier otro titulo traslaticio de dominio del área a desarrollar el proyecto.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720" w:right="4" w:hanging="360"/>
        <w:jc w:val="both"/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Escritura de constitución de sociedad, Comerciante individual o personería jurídica en caso de Sociedad mercantil extranjera, los documentos deberán estar debidamente apostillados conforme a ley.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720" w:right="4" w:hanging="360"/>
        <w:jc w:val="both"/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Informe de Validación de las Medidas de Control Ambiental del SLAS por el PSA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720" w:right="4" w:hanging="360"/>
        <w:jc w:val="both"/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Recibo de pago por inspección TGR-1 en la casilla: Institución 150-Secretaría de Recursos Naturales y Ambiente (SERNA); rubro 12117-Monitoreo Ambiental.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720" w:right="4" w:hanging="360"/>
        <w:jc w:val="both"/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Garantía Bancaria original, vigente por un año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720" w:right="4" w:hanging="360"/>
        <w:jc w:val="both"/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Publicación del aviso de presentación de la solicitud, en un octavo de página, en el diario mayor circulación, acreditar página completa (Esta cuenta con una vigencia de 05 días hábiles a partir de su publicación para presentación ante esta Secretaría)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720" w:right="4" w:hanging="360"/>
        <w:jc w:val="both"/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Herramienta Técnica de evaluación de acuerdo a la categoría del proyecto: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720" w:right="4" w:hanging="360"/>
        <w:jc w:val="both"/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Categoría 1: </w:t>
      </w: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Memoria Técnica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720" w:right="4" w:hanging="360"/>
        <w:jc w:val="both"/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Categoría 2: </w:t>
      </w: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Cuadro Resumen de Plan de Gestión Ambiental (nuevo)/ Cuadro Resumen de Plan de Mejoramiento Ambiental (operación)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720" w:right="4" w:hanging="360"/>
        <w:jc w:val="both"/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Categoría 3:</w:t>
      </w: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 Plan de Gestión Ambiental (nuevo)/ Plan de Mejoramiento Ambiental (operación)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720" w:right="4" w:hanging="360"/>
        <w:jc w:val="both"/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Categoría 4:</w:t>
      </w: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 Estudio de Evaluación de Impacto Ambiental (EsIA) (nuevo)/ Estudio de Evaluación de Auditoría Ambiental (EAA) (operando)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720" w:right="4" w:hanging="360"/>
        <w:jc w:val="both"/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Proyectos Categoría 4: </w:t>
      </w: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Deberá presentar la socialización y aprobación por Certificación del Punto de Acta de Cabildo abierto con medios de verificación fotográfico y listado de asistencia, publicaciones de avisos de inicio y finalización del Estudio de Impacto Ambiental, spot publicitario 03 veces por día durante 05 días en radio locales y nacionales, Fondo de Garantía o Seguro Ambiental vigente durante la vida útil del proyecto.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720" w:right="4" w:hanging="360"/>
        <w:jc w:val="both"/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Recibo TGR-1, por el monto de Inversión de Licenciamiento Ambiental, casilla: Institución 150-Secretaría de Recursos Naturales y Ambiente (SERNA); rubro 12209-Otras Licencias, el cual deberá ser cancelado en un periodo no menos a 10 días a partir de estar completa la documentación técnica y legal.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360" w:right="4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360" w:right="4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OBSERVACIONES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1080" w:right="4" w:hanging="360"/>
        <w:jc w:val="both"/>
        <w:rPr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Las revisiones se realizarán con el expediente en forma física y en la plataforma del SLAS, la misma deberá esta completa para su revisión en Secretaría General.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1080" w:right="4" w:hanging="360"/>
        <w:jc w:val="both"/>
        <w:rPr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Para los proyectos que se encuentran dentro de Área Protegida, deberá de presentar </w:t>
      </w: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single"/>
          <w:shd w:fill="auto" w:val="clear"/>
          <w:vertAlign w:val="baseline"/>
          <w:rtl w:val="0"/>
        </w:rPr>
        <w:t xml:space="preserve">CONSTANCIA DE FACTIBILIDAD</w:t>
      </w: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 emitida por el ICF.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1080" w:right="4" w:hanging="360"/>
        <w:jc w:val="both"/>
        <w:rPr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A los proyectos turísticos que le aplique, Certificado de Viabilidad Turística emitida por el IHT, de acuerdo a lo establecido en la Ley de Incentivo de Turismo y su Reglamento.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1080" w:right="4" w:hanging="360"/>
        <w:jc w:val="both"/>
        <w:rPr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Los proyectos de Lotificación y urbanización (nuevos o en operación) deberán de presentar Constancia emitida por Catastro Municipal.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1080" w:right="4" w:hanging="360"/>
        <w:jc w:val="both"/>
        <w:rPr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Los proyectos de Lotificación y urbanización (nuevos) deberán de presentar Estudio de Evaluación de Emplazamiento emitido por COPECO/En el Distrito Central se puede presentar Informe de Evaluación de Riesgo emitido por el Departamento de Riesgo de la AMDC.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60" w:before="240" w:line="276" w:lineRule="auto"/>
        <w:ind w:left="1080" w:right="4" w:hanging="360"/>
        <w:jc w:val="both"/>
        <w:rPr>
          <w:b w:val="1"/>
          <w:bCs w:val="1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Todos los planos deben ser tamaño tabloide, firmados, sellados y timbrados por Ing. Civil o arquitecto.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right="4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right="4"/>
        <w:rPr/>
      </w:pPr>
      <w:r w:rsidDel="00000000" w:rsidR="00000000" w:rsidRPr="00000000">
        <w:rPr>
          <w:b w:val="1"/>
          <w:bCs w:val="1"/>
          <w:rtl w:val="0"/>
        </w:rPr>
        <w:t xml:space="preserve">Casos Específicos: </w:t>
      </w:r>
      <w:r w:rsidDel="00000000" w:rsidR="00000000" w:rsidRPr="00000000">
        <w:rPr>
          <w:rtl w:val="0"/>
        </w:rPr>
        <w:t xml:space="preserve">Toda fotocopia debe ser presentada debidamente autenticada o cotejada conforme a su original. </w:t>
      </w:r>
    </w:p>
    <w:tbl>
      <w:tblPr>
        <w:tblStyle w:val="Table1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ind w:right="4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Proyectos Mineros: </w:t>
            </w:r>
            <w:r w:rsidDel="00000000" w:rsidR="00000000" w:rsidRPr="00000000">
              <w:rPr>
                <w:rtl w:val="0"/>
              </w:rPr>
              <w:t xml:space="preserve">Para minería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PEQUEÑA MINERÍA NO METALICA </w:t>
            </w:r>
            <w:r w:rsidDel="00000000" w:rsidR="00000000" w:rsidRPr="00000000">
              <w:rPr>
                <w:rtl w:val="0"/>
              </w:rPr>
              <w:t xml:space="preserve">deberá presentar la resolución emitida por el IHNGEOMIN (especificar área con coordenadas UTM WGS84), para la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PEQUEÑA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MINERÍA METÁLICA </w:t>
            </w:r>
            <w:r w:rsidDel="00000000" w:rsidR="00000000" w:rsidRPr="00000000">
              <w:rPr>
                <w:rtl w:val="0"/>
              </w:rPr>
              <w:t xml:space="preserve">deberá presenta constancia de solicitud del permiso de pequeña minería metálica.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2">
            <w:pPr>
              <w:ind w:right="4"/>
              <w:rPr/>
            </w:pPr>
            <w:r w:rsidDel="00000000" w:rsidR="00000000" w:rsidRPr="00000000">
              <w:rPr>
                <w:rtl w:val="0"/>
              </w:rPr>
              <w:t xml:space="preserve">Para la concesión deben presentar el estatus actual de la misma, si se encuentra en exploración o explotación, así como lo establece la Let General de Minería y la Ley MAPE.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ind w:right="4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Proyectos de Camaricultura: </w:t>
            </w:r>
            <w:r w:rsidDel="00000000" w:rsidR="00000000" w:rsidRPr="00000000">
              <w:rPr>
                <w:rtl w:val="0"/>
              </w:rPr>
              <w:t xml:space="preserve">Adjuntar la Concesión o constancia extendida por la SAG, de estar en trámite la solicitud de la concesión del área donde se pretende desarrollar el proyecto.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ind w:right="4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Proyectos Ejecutados por o a través de Municipalidades: </w:t>
            </w:r>
            <w:r w:rsidDel="00000000" w:rsidR="00000000" w:rsidRPr="00000000">
              <w:rPr>
                <w:rtl w:val="0"/>
              </w:rPr>
              <w:t xml:space="preserve">Punto de Acta de Autorización para firma de Convenio, Convenio Vigente, Punto de Acta donde se aprueba el monto de garantía de cumplimiento de medidas, Certificado de Garantía</w:t>
            </w:r>
          </w:p>
        </w:tc>
      </w:tr>
    </w:tbl>
    <w:p w:rsidR="00000000" w:rsidDel="00000000" w:rsidP="00000000" w:rsidRDefault="00000000" w:rsidRPr="00000000" w14:paraId="00000025">
      <w:pPr>
        <w:ind w:right="4"/>
        <w:rPr>
          <w:b w:val="1"/>
          <w:bCs w:val="1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8720" w:w="12240" w:orient="portrait"/>
      <w:pgMar w:bottom="1440" w:top="1440" w:left="1440" w:right="1440" w:header="1758" w:footer="13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-421" w:firstLine="0"/>
      <w:jc w:val="both"/>
      <w:rPr>
        <w:rFonts w:ascii="Georgia" w:cs="Georgia" w:eastAsia="Georgia" w:hAnsi="Georgia"/>
        <w:b w:val="0"/>
        <w:bCs w:val="0"/>
        <w:i w:val="0"/>
        <w:iCs w:val="0"/>
        <w:smallCaps w:val="0"/>
        <w:strike w:val="0"/>
        <w:color w:val="333333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-421" w:firstLine="0"/>
      <w:jc w:val="both"/>
      <w:rPr>
        <w:rFonts w:ascii="Georgia" w:cs="Georgia" w:eastAsia="Georgia" w:hAnsi="Georgia"/>
        <w:b w:val="0"/>
        <w:bCs w:val="0"/>
        <w:i w:val="0"/>
        <w:iCs w:val="0"/>
        <w:smallCaps w:val="0"/>
        <w:strike w:val="0"/>
        <w:color w:val="333333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-421" w:firstLine="0"/>
      <w:jc w:val="both"/>
      <w:rPr>
        <w:rFonts w:ascii="Georgia" w:cs="Georgia" w:eastAsia="Georgia" w:hAnsi="Georgia"/>
        <w:b w:val="0"/>
        <w:bCs w:val="0"/>
        <w:i w:val="0"/>
        <w:iCs w:val="0"/>
        <w:smallCaps w:val="0"/>
        <w:strike w:val="0"/>
        <w:color w:val="333333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-421" w:firstLine="0"/>
      <w:jc w:val="both"/>
      <w:rPr>
        <w:rFonts w:ascii="Georgia" w:cs="Georgia" w:eastAsia="Georgia" w:hAnsi="Georgia"/>
        <w:b w:val="0"/>
        <w:bCs w:val="0"/>
        <w:i w:val="0"/>
        <w:iCs w:val="0"/>
        <w:smallCaps w:val="0"/>
        <w:strike w:val="0"/>
        <w:color w:val="333333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-421" w:firstLine="0"/>
      <w:jc w:val="both"/>
      <w:rPr>
        <w:rFonts w:ascii="Georgia" w:cs="Georgia" w:eastAsia="Georgia" w:hAnsi="Georgia"/>
        <w:b w:val="0"/>
        <w:bCs w:val="0"/>
        <w:i w:val="0"/>
        <w:iCs w:val="0"/>
        <w:smallCaps w:val="0"/>
        <w:strike w:val="0"/>
        <w:color w:val="333333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eorgia" w:cs="Georgia" w:eastAsia="Georgia" w:hAnsi="Georgia"/>
        <w:b w:val="0"/>
        <w:bCs w:val="0"/>
        <w:i w:val="0"/>
        <w:iCs w:val="0"/>
        <w:smallCaps w:val="0"/>
        <w:strike w:val="0"/>
        <w:color w:val="333333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posOffset>-930165</wp:posOffset>
          </wp:positionH>
          <wp:positionV relativeFrom="margin">
            <wp:posOffset>-1306610</wp:posOffset>
          </wp:positionV>
          <wp:extent cx="7791069" cy="11915754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91069" cy="1191575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-421" w:firstLine="0"/>
      <w:jc w:val="both"/>
      <w:rPr>
        <w:rFonts w:ascii="Georgia" w:cs="Georgia" w:eastAsia="Georgia" w:hAnsi="Georgia"/>
        <w:b w:val="0"/>
        <w:bCs w:val="0"/>
        <w:i w:val="0"/>
        <w:iCs w:val="0"/>
        <w:smallCaps w:val="0"/>
        <w:strike w:val="0"/>
        <w:color w:val="333333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Georgia" w:cs="Georgia" w:eastAsia="Georgia" w:hAnsi="Georgia"/>
        <w:color w:val="333333"/>
        <w:sz w:val="22"/>
        <w:szCs w:val="22"/>
        <w:lang w:val="es-HN"/>
      </w:rPr>
    </w:rPrDefault>
    <w:pPrDefault>
      <w:pPr>
        <w:spacing w:after="160" w:line="276" w:lineRule="auto"/>
        <w:ind w:right="-421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tabs>
        <w:tab w:val="left" w:leader="none" w:pos="3060"/>
      </w:tabs>
      <w:spacing w:after="200" w:before="120" w:lineRule="auto"/>
      <w:ind w:left="397" w:right="-420"/>
      <w:jc w:val="center"/>
    </w:pPr>
    <w:rPr>
      <w:b w:val="1"/>
      <w:bCs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tabs>
        <w:tab w:val="left" w:leader="none" w:pos="3060"/>
      </w:tabs>
      <w:spacing w:after="200" w:before="120" w:lineRule="auto"/>
      <w:ind w:left="397" w:right="-420"/>
      <w:jc w:val="center"/>
    </w:pPr>
    <w:rPr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tabs>
        <w:tab w:val="left" w:leader="none" w:pos="3060"/>
      </w:tabs>
      <w:spacing w:after="200" w:before="120" w:lineRule="auto"/>
      <w:ind w:left="397" w:right="-420"/>
      <w:jc w:val="center"/>
    </w:pPr>
    <w:rPr>
      <w:b w:val="1"/>
      <w:bCs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60" w:before="160" w:line="360" w:lineRule="auto"/>
      <w:ind w:left="1066" w:hanging="709"/>
    </w:pPr>
    <w:rPr>
      <w:b w:val="1"/>
      <w:bCs w:val="1"/>
      <w:color w:val="e3a21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="259" w:lineRule="auto"/>
      <w:ind w:left="1008" w:hanging="1008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="259" w:lineRule="auto"/>
      <w:ind w:left="1152" w:hanging="1152"/>
    </w:pPr>
    <w:rPr>
      <w:rFonts w:ascii="Calibri" w:cs="Calibri" w:eastAsia="Calibri" w:hAnsi="Calibri"/>
      <w:color w:val="1f3863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1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